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Графикалы</w:t>
      </w:r>
      <w:r>
        <w:rPr>
          <w:rFonts w:ascii="Times New Roman" w:hAnsi="Times New Roman" w:cs="Times New Roman" w:eastAsia="Times New Roman"/>
          <w:b/>
          <w:color w:val="000000"/>
          <w:spacing w:val="0"/>
          <w:position w:val="0"/>
          <w:sz w:val="28"/>
          <w:shd w:fill="auto" w:val="clear"/>
        </w:rPr>
        <w:t xml:space="preserve">қ редакторлардың түрлері </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Фотосуреттерді </w:t>
      </w:r>
      <w:r>
        <w:rPr>
          <w:rFonts w:ascii="Times New Roman" w:hAnsi="Times New Roman" w:cs="Times New Roman" w:eastAsia="Times New Roman"/>
          <w:color w:val="000000"/>
          <w:spacing w:val="0"/>
          <w:position w:val="0"/>
          <w:sz w:val="28"/>
          <w:shd w:fill="auto" w:val="clear"/>
        </w:rPr>
        <w:t xml:space="preserve">өңдеу фотографтың жұмысының бөлігі болып табылады. Өңдеу арқылы сіз өзіңіздің таңғажайып фотосуреттеріңізді экспозиция, ақ баланс және түс сияқты параметрлерді реттеу арқылы одан да керемет етіп жасай аласыз. Сонымен қатар, фотосуреттерді өңдеу кескін файлдарының көлемін азайтуға көмектеседі. Егер сіз өзіңіздің суреттеріңізді интернетте фотосуреттер веб-сайтында немесе әлеуметтік желіде орналастыруды жоспарласаңыз, бұл өте маңызды. Кішігірім суреттер сіздің WordPress сайттарыңыздың жүктелу жылдамдығын жақсартады, бұл өз кезегінде іздеу жүйесінің рейтингісін арттырады. Ал кішігірім кескін файлдары сіздің әлеуметтік есептік жазбаларыңызда тезірек және сапалы түрде жарияланады.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Компьютерде кескіндерді </w:t>
      </w:r>
      <w:r>
        <w:rPr>
          <w:rFonts w:ascii="Times New Roman" w:hAnsi="Times New Roman" w:cs="Times New Roman" w:eastAsia="Times New Roman"/>
          <w:color w:val="000000"/>
          <w:spacing w:val="0"/>
          <w:position w:val="0"/>
          <w:sz w:val="28"/>
          <w:shd w:fill="auto" w:val="clear"/>
        </w:rPr>
        <w:t xml:space="preserve">өңдеу үшін арнайы бағдарламалар қолданылады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графикалы</w:t>
      </w:r>
      <w:r>
        <w:rPr>
          <w:rFonts w:ascii="Times New Roman" w:hAnsi="Times New Roman" w:cs="Times New Roman" w:eastAsia="Times New Roman"/>
          <w:color w:val="000000"/>
          <w:spacing w:val="0"/>
          <w:position w:val="0"/>
          <w:sz w:val="28"/>
          <w:shd w:fill="auto" w:val="clear"/>
        </w:rPr>
        <w:t xml:space="preserve">қ редакторлар. Графикалық редактор-бұл графикалық кескіндерді жасау, өңдеу және қарау бағдарламасы. Фотосуреттерді өңдеудің ең жақсы бағдарламалық жасақтамасы кескінді фокустауға, негізгі нысандарды бөлуге және қарапайым суретті шынымен керемет нәрсеге айналдыруға көмектеседі. </w:t>
      </w:r>
      <w:r>
        <w:rPr>
          <w:rFonts w:ascii="Times New Roman" w:hAnsi="Times New Roman" w:cs="Times New Roman" w:eastAsia="Times New Roman"/>
          <w:color w:val="000000"/>
          <w:spacing w:val="0"/>
          <w:position w:val="0"/>
          <w:sz w:val="28"/>
          <w:shd w:fill="auto" w:val="clear"/>
        </w:rPr>
        <w:t xml:space="preserve">Графикалық редакторлар екі санатқа бөлінеді</w:t>
      </w:r>
      <w:r>
        <w:rPr>
          <w:rFonts w:ascii="Times New Roman" w:hAnsi="Times New Roman" w:cs="Times New Roman" w:eastAsia="Times New Roman"/>
          <w:color w:val="000000"/>
          <w:spacing w:val="0"/>
          <w:position w:val="0"/>
          <w:sz w:val="28"/>
          <w:shd w:fill="auto" w:val="clear"/>
        </w:rPr>
        <w:t xml:space="preserve">: растрлық және векторлық. Олар графикалық ақпаратты ұсыну әдісімен ерекшеленеді.</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Сұрақтар</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Фотосуреттерді өңдеу әдістері</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2.Компьютерде кескіндерді өңдеу үшін қандай бағдарламалар қолданылады.</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Графикалық редакторлар неше санатқа бөлінеді.</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Әдебиеттер</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auto"/>
          <w:spacing w:val="6"/>
          <w:position w:val="0"/>
          <w:sz w:val="28"/>
          <w:shd w:fill="auto" w:val="clear"/>
        </w:rPr>
        <w:t xml:space="preserve">Галкин С.И.</w:t>
      </w:r>
      <w:r>
        <w:rPr>
          <w:rFonts w:ascii="Times New Roman" w:hAnsi="Times New Roman" w:cs="Times New Roman" w:eastAsia="Times New Roman"/>
          <w:color w:val="auto"/>
          <w:spacing w:val="6"/>
          <w:position w:val="0"/>
          <w:sz w:val="28"/>
          <w:shd w:fill="auto" w:val="clear"/>
        </w:rPr>
        <w:t xml:space="preserve"> Оформление газеты и журнала: от элемента к системе. </w:t>
      </w:r>
      <w:r>
        <w:rPr>
          <w:rFonts w:ascii="Times New Roman" w:hAnsi="Times New Roman" w:cs="Times New Roman" w:eastAsia="Times New Roman"/>
          <w:color w:val="auto"/>
          <w:spacing w:val="6"/>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М., 1984.</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Дизайн периодических изданий / Под ред. Э.А. Лазаревич.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2000</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Мильчин А.Э.</w:t>
      </w:r>
      <w:r>
        <w:rPr>
          <w:rFonts w:ascii="Times New Roman" w:hAnsi="Times New Roman" w:cs="Times New Roman" w:eastAsia="Times New Roman"/>
          <w:color w:val="auto"/>
          <w:spacing w:val="0"/>
          <w:position w:val="0"/>
          <w:sz w:val="28"/>
          <w:shd w:fill="auto" w:val="clear"/>
        </w:rPr>
        <w:t xml:space="preserve"> Издательский словарь-справочник.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1998.</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Табашников И.Н.</w:t>
      </w:r>
      <w:r>
        <w:rPr>
          <w:rFonts w:ascii="Times New Roman" w:hAnsi="Times New Roman" w:cs="Times New Roman" w:eastAsia="Times New Roman"/>
          <w:color w:val="auto"/>
          <w:spacing w:val="0"/>
          <w:position w:val="0"/>
          <w:sz w:val="28"/>
          <w:shd w:fill="auto" w:val="clear"/>
        </w:rPr>
        <w:t xml:space="preserve"> Газета и дизайн.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Тюмень, 1994.</w:t>
      </w:r>
    </w:p>
    <w:p>
      <w:pPr>
        <w:numPr>
          <w:ilvl w:val="0"/>
          <w:numId w:val="2"/>
        </w:numPr>
        <w:tabs>
          <w:tab w:val="left" w:pos="144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Ю.С. Ковтанюк . Самоучитель  </w:t>
      </w:r>
      <w:r>
        <w:rPr>
          <w:rFonts w:ascii="Times New Roman" w:hAnsi="Times New Roman" w:cs="Times New Roman" w:eastAsia="Times New Roman"/>
          <w:caps w:val="true"/>
          <w:color w:val="auto"/>
          <w:spacing w:val="0"/>
          <w:position w:val="0"/>
          <w:sz w:val="24"/>
          <w:shd w:fill="auto" w:val="clear"/>
        </w:rPr>
        <w:t xml:space="preserve">«</w:t>
      </w:r>
      <w:r>
        <w:rPr>
          <w:rFonts w:ascii="Times New Roman" w:hAnsi="Times New Roman" w:cs="Times New Roman" w:eastAsia="Times New Roman"/>
          <w:caps w:val="true"/>
          <w:color w:val="auto"/>
          <w:spacing w:val="0"/>
          <w:position w:val="0"/>
          <w:sz w:val="24"/>
          <w:shd w:fill="auto" w:val="clear"/>
        </w:rPr>
        <w:t xml:space="preserve">Корал Дро 10</w:t>
      </w:r>
      <w:r>
        <w:rPr>
          <w:rFonts w:ascii="Times New Roman" w:hAnsi="Times New Roman" w:cs="Times New Roman" w:eastAsia="Times New Roman"/>
          <w:caps w:val="true"/>
          <w:color w:val="auto"/>
          <w:spacing w:val="0"/>
          <w:position w:val="0"/>
          <w:sz w:val="24"/>
          <w:shd w:fill="auto" w:val="clear"/>
        </w:rPr>
        <w:t xml:space="preserve">».- </w:t>
      </w:r>
      <w:r>
        <w:rPr>
          <w:rFonts w:ascii="Times New Roman" w:hAnsi="Times New Roman" w:cs="Times New Roman" w:eastAsia="Times New Roman"/>
          <w:caps w:val="true"/>
          <w:color w:val="auto"/>
          <w:spacing w:val="0"/>
          <w:position w:val="0"/>
          <w:sz w:val="24"/>
          <w:shd w:fill="auto" w:val="clear"/>
        </w:rPr>
        <w:t xml:space="preserve">Киев. </w:t>
      </w:r>
      <w:r>
        <w:rPr>
          <w:rFonts w:ascii="Times New Roman" w:hAnsi="Times New Roman" w:cs="Times New Roman" w:eastAsia="Times New Roman"/>
          <w:caps w:val="true"/>
          <w:color w:val="auto"/>
          <w:spacing w:val="0"/>
          <w:position w:val="0"/>
          <w:sz w:val="24"/>
          <w:shd w:fill="auto" w:val="clear"/>
        </w:rPr>
        <w:t xml:space="preserve">«</w:t>
      </w:r>
      <w:r>
        <w:rPr>
          <w:rFonts w:ascii="Times New Roman" w:hAnsi="Times New Roman" w:cs="Times New Roman" w:eastAsia="Times New Roman"/>
          <w:caps w:val="true"/>
          <w:color w:val="auto"/>
          <w:spacing w:val="0"/>
          <w:position w:val="0"/>
          <w:sz w:val="24"/>
          <w:shd w:fill="auto" w:val="clear"/>
        </w:rPr>
        <w:t xml:space="preserve">Юниор</w:t>
      </w:r>
      <w:r>
        <w:rPr>
          <w:rFonts w:ascii="Times New Roman" w:hAnsi="Times New Roman" w:cs="Times New Roman" w:eastAsia="Times New Roman"/>
          <w:caps w:val="true"/>
          <w:color w:val="auto"/>
          <w:spacing w:val="0"/>
          <w:position w:val="0"/>
          <w:sz w:val="24"/>
          <w:shd w:fill="auto" w:val="clear"/>
        </w:rPr>
        <w:t xml:space="preserve">», 2001.</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